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2766EF">
        <w:rPr>
          <w:rFonts w:asciiTheme="minorHAnsi" w:eastAsia="Times New Roman" w:hAnsiTheme="minorHAnsi" w:cs="Times New Roman"/>
          <w:bCs/>
          <w:lang w:val="fr-FR" w:eastAsia="fr-FR"/>
        </w:rPr>
      </w:r>
      <w:r w:rsidR="002766EF">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766EF">
        <w:rPr>
          <w:rFonts w:asciiTheme="minorHAnsi" w:eastAsia="Times New Roman" w:hAnsiTheme="minorHAnsi" w:cs="Times New Roman"/>
          <w:iCs/>
          <w:lang w:val="fr-FR" w:eastAsia="fr-FR"/>
        </w:rPr>
      </w:r>
      <w:r w:rsidR="002766E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766EF">
        <w:rPr>
          <w:rFonts w:asciiTheme="minorHAnsi" w:eastAsia="Times New Roman" w:hAnsiTheme="minorHAnsi" w:cs="Times New Roman"/>
          <w:iCs/>
          <w:lang w:val="fr-FR" w:eastAsia="fr-FR"/>
        </w:rPr>
      </w:r>
      <w:r w:rsidR="002766E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766EF">
        <w:rPr>
          <w:rFonts w:asciiTheme="minorHAnsi" w:eastAsia="Times New Roman" w:hAnsiTheme="minorHAnsi" w:cs="Times New Roman"/>
          <w:iCs/>
          <w:sz w:val="22"/>
          <w:szCs w:val="22"/>
          <w:lang w:eastAsia="fr-FR"/>
        </w:rPr>
      </w:r>
      <w:r w:rsidR="002766E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766EF">
        <w:rPr>
          <w:rFonts w:asciiTheme="minorHAnsi" w:eastAsia="Times New Roman" w:hAnsiTheme="minorHAnsi" w:cs="Times New Roman"/>
          <w:iCs/>
          <w:sz w:val="22"/>
          <w:szCs w:val="22"/>
          <w:lang w:eastAsia="fr-FR"/>
        </w:rPr>
      </w:r>
      <w:r w:rsidR="002766E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766EF">
        <w:rPr>
          <w:rFonts w:asciiTheme="minorHAnsi" w:eastAsia="Times New Roman" w:hAnsiTheme="minorHAnsi" w:cs="Times New Roman"/>
          <w:iCs/>
          <w:sz w:val="22"/>
          <w:szCs w:val="22"/>
          <w:lang w:eastAsia="fr-FR"/>
        </w:rPr>
      </w:r>
      <w:r w:rsidR="002766E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766EF">
        <w:rPr>
          <w:rFonts w:asciiTheme="minorHAnsi" w:eastAsia="Times New Roman" w:hAnsiTheme="minorHAnsi" w:cs="Times New Roman"/>
          <w:iCs/>
          <w:sz w:val="22"/>
          <w:szCs w:val="22"/>
          <w:lang w:eastAsia="fr-FR"/>
        </w:rPr>
      </w:r>
      <w:r w:rsidR="002766E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766EF">
        <w:rPr>
          <w:rFonts w:asciiTheme="minorHAnsi" w:eastAsia="Times New Roman" w:hAnsiTheme="minorHAnsi" w:cs="Times New Roman"/>
          <w:iCs/>
          <w:sz w:val="22"/>
          <w:szCs w:val="22"/>
          <w:lang w:eastAsia="fr-FR"/>
        </w:rPr>
      </w:r>
      <w:r w:rsidR="002766E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766EF">
        <w:rPr>
          <w:rFonts w:asciiTheme="minorHAnsi" w:eastAsia="Times New Roman" w:hAnsiTheme="minorHAnsi" w:cs="Times New Roman"/>
          <w:iCs/>
          <w:sz w:val="22"/>
          <w:szCs w:val="22"/>
          <w:lang w:eastAsia="fr-FR"/>
        </w:rPr>
      </w:r>
      <w:r w:rsidR="002766E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766EF">
        <w:rPr>
          <w:rFonts w:asciiTheme="minorHAnsi" w:eastAsia="Times New Roman" w:hAnsiTheme="minorHAnsi" w:cs="Times New Roman"/>
          <w:iCs/>
          <w:sz w:val="22"/>
          <w:szCs w:val="22"/>
          <w:lang w:eastAsia="fr-FR"/>
        </w:rPr>
      </w:r>
      <w:r w:rsidR="002766E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766EF">
        <w:rPr>
          <w:rFonts w:asciiTheme="minorHAnsi" w:eastAsia="Times New Roman" w:hAnsiTheme="minorHAnsi" w:cs="Times New Roman"/>
          <w:iCs/>
          <w:lang w:val="fr-FR" w:eastAsia="fr-FR"/>
        </w:rPr>
      </w:r>
      <w:r w:rsidR="002766EF">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766EF">
        <w:rPr>
          <w:rFonts w:asciiTheme="minorHAnsi" w:eastAsia="Times New Roman" w:hAnsiTheme="minorHAnsi" w:cs="Times New Roman"/>
          <w:iCs/>
          <w:lang w:val="fr-FR" w:eastAsia="fr-FR"/>
        </w:rPr>
      </w:r>
      <w:r w:rsidR="002766E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2766EF">
        <w:rPr>
          <w:rFonts w:asciiTheme="minorHAnsi" w:hAnsiTheme="minorHAnsi"/>
          <w:sz w:val="22"/>
          <w:szCs w:val="22"/>
        </w:rPr>
      </w:r>
      <w:r w:rsidR="002766E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2766EF">
        <w:rPr>
          <w:rFonts w:asciiTheme="minorHAnsi" w:hAnsiTheme="minorHAnsi"/>
          <w:sz w:val="22"/>
          <w:szCs w:val="22"/>
        </w:rPr>
      </w:r>
      <w:r w:rsidR="002766E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2766EF">
        <w:rPr>
          <w:rStyle w:val="Style135pt"/>
          <w:rFonts w:asciiTheme="minorHAnsi" w:hAnsiTheme="minorHAnsi"/>
          <w:sz w:val="22"/>
          <w:szCs w:val="22"/>
        </w:rPr>
      </w:r>
      <w:r w:rsidR="002766EF">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2766EF">
        <w:rPr>
          <w:rFonts w:asciiTheme="minorHAnsi" w:hAnsiTheme="minorHAnsi"/>
          <w:sz w:val="22"/>
          <w:szCs w:val="22"/>
        </w:rPr>
      </w:r>
      <w:r w:rsidR="002766E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2766EF">
        <w:rPr>
          <w:rFonts w:asciiTheme="minorHAnsi" w:eastAsia="Times New Roman" w:hAnsiTheme="minorHAnsi" w:cs="Times New Roman"/>
          <w:lang w:val="fr-FR" w:eastAsia="fr-FR"/>
        </w:rPr>
      </w:r>
      <w:r w:rsidR="002766E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03A6C" w:rsidRDefault="00403A6C" w:rsidP="002766EF">
      <w:pPr>
        <w:jc w:val="both"/>
        <w:rPr>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w:t>
      </w:r>
      <w:proofErr w:type="gramStart"/>
      <w:r w:rsidRPr="00E358A5">
        <w:rPr>
          <w:rStyle w:val="Style135pt"/>
          <w:rFonts w:asciiTheme="minorHAnsi" w:hAnsiTheme="minorHAnsi"/>
          <w:iCs/>
          <w:sz w:val="22"/>
        </w:rPr>
        <w:t xml:space="preserve">  </w:t>
      </w:r>
      <w:proofErr w:type="gramEnd"/>
      <w:hyperlink r:id="rId12" w:history="1">
        <w:r w:rsidR="002766EF" w:rsidRPr="002766EF">
          <w:rPr>
            <w:rStyle w:val="Lienhypertexte"/>
            <w:rFonts w:asciiTheme="minorHAnsi" w:hAnsiTheme="minorHAnsi"/>
            <w:iCs/>
          </w:rPr>
          <w:t>dpo@enghien-edingen.be</w:t>
        </w:r>
      </w:hyperlink>
      <w:r w:rsidR="002766EF" w:rsidRPr="002766EF">
        <w:rPr>
          <w:rFonts w:asciiTheme="minorHAnsi" w:hAnsiTheme="minorHAnsi"/>
          <w:iCs/>
        </w:rPr>
        <w:t xml:space="preserve"> ou à l’adresse postale suivante : Avenue Reine Astrid, 18b à 7850 Enghien.</w:t>
      </w:r>
    </w:p>
    <w:p w:rsidR="002766EF" w:rsidRPr="00E358A5" w:rsidRDefault="002766EF" w:rsidP="002766EF">
      <w:pPr>
        <w:jc w:val="both"/>
        <w:rPr>
          <w:rStyle w:val="Style135pt"/>
          <w:rFonts w:asciiTheme="minorHAnsi" w:hAnsiTheme="minorHAnsi"/>
          <w:iCs/>
          <w:sz w:val="22"/>
          <w:lang w:val="fr-FR"/>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2766EF">
          <w:rPr>
            <w:noProof/>
          </w:rPr>
          <w:t>13</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766EF"/>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o@enghien-edinge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4004</Words>
  <Characters>22027</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orditech</cp:lastModifiedBy>
  <cp:revision>2</cp:revision>
  <cp:lastPrinted>2016-12-21T16:23:00Z</cp:lastPrinted>
  <dcterms:created xsi:type="dcterms:W3CDTF">2019-12-13T09:36:00Z</dcterms:created>
  <dcterms:modified xsi:type="dcterms:W3CDTF">2019-12-13T09:36:00Z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